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649" w:rsidRDefault="004B33CA" w:rsidP="004B33CA">
      <w:pPr>
        <w:pStyle w:val="a4"/>
      </w:pPr>
      <w:r w:rsidRPr="004B33CA">
        <w:t>4-channel wavelength division multiplexer</w:t>
      </w:r>
    </w:p>
    <w:p w:rsidR="004B33CA" w:rsidRDefault="004B33CA" w:rsidP="004B33CA"/>
    <w:p w:rsidR="004B33CA" w:rsidRDefault="004B33CA" w:rsidP="004B33CA"/>
    <w:p w:rsidR="004B33CA" w:rsidRDefault="004B33CA" w:rsidP="004B33CA"/>
    <w:p w:rsidR="004B33CA" w:rsidRPr="004B33CA" w:rsidRDefault="004B33CA" w:rsidP="004B33CA">
      <w:pPr>
        <w:rPr>
          <w:rStyle w:val="a6"/>
        </w:rPr>
      </w:pPr>
      <w:r w:rsidRPr="004B33CA">
        <w:rPr>
          <w:rStyle w:val="a6"/>
        </w:rPr>
        <w:t>1. Basic Information</w:t>
      </w:r>
    </w:p>
    <w:p w:rsidR="004B33CA" w:rsidRDefault="004B33CA" w:rsidP="004B33CA"/>
    <w:p w:rsidR="004B33CA" w:rsidRDefault="004B33CA" w:rsidP="004B33CA">
      <w:r>
        <w:t>Device Name: 1-to-4 Wavelength Division Multiplexer</w:t>
      </w:r>
    </w:p>
    <w:p w:rsidR="004B33CA" w:rsidRDefault="004B33CA" w:rsidP="004B33CA"/>
    <w:p w:rsidR="004B33CA" w:rsidRDefault="004B33CA" w:rsidP="004B33CA">
      <w:r>
        <w:t>Specifications: 1271/1291/1311/1331nm</w:t>
      </w:r>
    </w:p>
    <w:p w:rsidR="00CC4B0F" w:rsidRDefault="00CC4B0F" w:rsidP="004B33CA"/>
    <w:p w:rsidR="00CC4B0F" w:rsidRDefault="00CC4B0F" w:rsidP="004B33CA"/>
    <w:p w:rsidR="004B33CA" w:rsidRDefault="004B33CA" w:rsidP="004B33CA"/>
    <w:p w:rsidR="004B33CA" w:rsidRDefault="004B33CA" w:rsidP="004B33CA">
      <w:pPr>
        <w:rPr>
          <w:rStyle w:val="a6"/>
        </w:rPr>
      </w:pPr>
      <w:r w:rsidRPr="004B33CA">
        <w:rPr>
          <w:rStyle w:val="a6"/>
        </w:rPr>
        <w:t>2. Main Technical Requirements and Specifications</w:t>
      </w:r>
    </w:p>
    <w:p w:rsidR="004B33CA" w:rsidRPr="004B33CA" w:rsidRDefault="004B33CA" w:rsidP="004B33CA">
      <w:pPr>
        <w:rPr>
          <w:rStyle w:val="a6"/>
          <w:i/>
          <w:sz w:val="18"/>
          <w:szCs w:val="18"/>
        </w:rPr>
      </w:pPr>
      <w:r w:rsidRPr="004B33CA">
        <w:rPr>
          <w:i/>
          <w:sz w:val="18"/>
          <w:szCs w:val="18"/>
        </w:rPr>
        <w:t>Absolute Maximum Ratings</w:t>
      </w:r>
    </w:p>
    <w:tbl>
      <w:tblPr>
        <w:tblW w:w="0" w:type="auto"/>
        <w:tblCellSpacing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5"/>
        <w:gridCol w:w="966"/>
        <w:gridCol w:w="603"/>
        <w:gridCol w:w="893"/>
        <w:gridCol w:w="992"/>
      </w:tblGrid>
      <w:tr w:rsidR="004B33CA" w:rsidRPr="004B33CA" w:rsidTr="004B33CA">
        <w:trPr>
          <w:tblHeader/>
          <w:tblCellSpacing w:w="15" w:type="dxa"/>
        </w:trPr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Parameter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Symbol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Min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Max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Unit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Operating Temperature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>
              <w:rPr>
                <w:rFonts w:ascii="宋体" w:hAnsi="宋体" w:cs="Tahoma" w:hint="eastAsia"/>
                <w:i/>
                <w:szCs w:val="18"/>
              </w:rPr>
              <w:t>T</w:t>
            </w:r>
            <w:r>
              <w:rPr>
                <w:rFonts w:ascii="宋体" w:hAnsi="宋体" w:cs="Tahoma"/>
                <w:i/>
                <w:szCs w:val="18"/>
                <w:vertAlign w:val="subscript"/>
              </w:rPr>
              <w:t>op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-55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85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℃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Storage Temperature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>
              <w:rPr>
                <w:rFonts w:ascii="宋体" w:hAnsi="宋体" w:cs="Tahoma" w:hint="eastAsia"/>
                <w:i/>
                <w:szCs w:val="18"/>
              </w:rPr>
              <w:t>T</w:t>
            </w:r>
            <w:r>
              <w:rPr>
                <w:rFonts w:ascii="宋体" w:hAnsi="宋体" w:cs="Tahoma"/>
                <w:i/>
                <w:szCs w:val="18"/>
                <w:vertAlign w:val="subscript"/>
              </w:rPr>
              <w:t>s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-55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85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℃</w:t>
            </w:r>
          </w:p>
        </w:tc>
      </w:tr>
    </w:tbl>
    <w:p w:rsidR="004B33CA" w:rsidRDefault="004B33CA" w:rsidP="004B33CA">
      <w:pPr>
        <w:rPr>
          <w:rStyle w:val="a6"/>
        </w:rPr>
      </w:pPr>
    </w:p>
    <w:p w:rsidR="004B33CA" w:rsidRDefault="004B33CA" w:rsidP="004B33CA">
      <w:pPr>
        <w:rPr>
          <w:sz w:val="18"/>
          <w:szCs w:val="18"/>
        </w:rPr>
      </w:pPr>
      <w:r w:rsidRPr="004B33CA">
        <w:rPr>
          <w:sz w:val="18"/>
          <w:szCs w:val="18"/>
        </w:rPr>
        <w:t>Performance Parameters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6"/>
        <w:gridCol w:w="1200"/>
        <w:gridCol w:w="603"/>
        <w:gridCol w:w="3089"/>
        <w:gridCol w:w="603"/>
        <w:gridCol w:w="559"/>
      </w:tblGrid>
      <w:tr w:rsidR="004B33CA" w:rsidRPr="004B33CA" w:rsidTr="004B33CA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Symbol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Min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Typical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Max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Unit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Number of Channels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4CH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Operating Wavelength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λc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1271/1291/1311/1331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nm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Channel Passband (0.5dB)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Passband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λc ±6.5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nm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Insertion Loss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dB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Ripple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dB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Isolation (Adjacent Channel)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ISO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dB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Isolation (Non-adjacent Channel)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ISO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dB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Polarization Dependent Loss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PDL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0.3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dB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37.5 × 12.8 × 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mm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Fiber Type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G.657 A1 Fiber, 2.0mm armored tube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Fiber Length (COM Port)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200 (excluding connector &amp; channel mark)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mm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Fiber Length (Other Ports)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300 (excluding connector &amp; channel mark)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mm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Connector Type (COM Port)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ST/UPC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B33CA" w:rsidRPr="004B33CA" w:rsidTr="004B33C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Connector Type (Other Ports)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LC/UPC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4B33CA" w:rsidRPr="004B33CA" w:rsidRDefault="004B33CA" w:rsidP="004B33CA">
            <w:pPr>
              <w:widowControl/>
              <w:jc w:val="center"/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</w:rPr>
            </w:pPr>
            <w:r w:rsidRPr="004B33CA">
              <w:rPr>
                <w:rFonts w:ascii="宋体" w:eastAsia="宋体" w:hAnsi="宋体" w:cs="宋体"/>
                <w:color w:val="1F1F1F"/>
                <w:kern w:val="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</w:tbl>
    <w:p w:rsidR="004B33CA" w:rsidRDefault="004B33CA" w:rsidP="004B33CA">
      <w:pPr>
        <w:jc w:val="center"/>
        <w:rPr>
          <w:rStyle w:val="a6"/>
          <w:sz w:val="18"/>
          <w:szCs w:val="18"/>
        </w:rPr>
      </w:pPr>
    </w:p>
    <w:p w:rsidR="00810C70" w:rsidRDefault="00810C70" w:rsidP="004B33CA">
      <w:pPr>
        <w:jc w:val="center"/>
        <w:rPr>
          <w:rStyle w:val="a6"/>
          <w:sz w:val="18"/>
          <w:szCs w:val="18"/>
        </w:rPr>
      </w:pPr>
    </w:p>
    <w:p w:rsidR="00810C70" w:rsidRDefault="00810C70" w:rsidP="004B33CA">
      <w:pPr>
        <w:jc w:val="center"/>
        <w:rPr>
          <w:rStyle w:val="a6"/>
          <w:sz w:val="18"/>
          <w:szCs w:val="18"/>
        </w:rPr>
      </w:pPr>
      <w:bookmarkStart w:id="0" w:name="_GoBack"/>
      <w:bookmarkEnd w:id="0"/>
    </w:p>
    <w:p w:rsidR="00810C70" w:rsidRPr="004B33CA" w:rsidRDefault="00810C70" w:rsidP="004B33CA">
      <w:pPr>
        <w:jc w:val="center"/>
        <w:rPr>
          <w:rStyle w:val="a6"/>
          <w:rFonts w:hint="eastAsia"/>
          <w:sz w:val="18"/>
          <w:szCs w:val="18"/>
        </w:rPr>
      </w:pPr>
      <w:r w:rsidRPr="00810C70">
        <w:rPr>
          <w:rStyle w:val="a6"/>
          <w:noProof/>
          <w:sz w:val="18"/>
          <w:szCs w:val="18"/>
        </w:rPr>
        <w:lastRenderedPageBreak/>
        <w:drawing>
          <wp:inline distT="0" distB="0" distL="0" distR="0">
            <wp:extent cx="5274310" cy="8308062"/>
            <wp:effectExtent l="0" t="0" r="2540" b="0"/>
            <wp:docPr id="1" name="图片 1" descr="C:\Users\Administrator\Desktop\网站图片\网站更新-optico\SO2604060 4通道波分复用器要求\SO2604060 4通道波分复用器要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网站图片\网站更新-optico\SO2604060 4通道波分复用器要求\SO2604060 4通道波分复用器要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308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0C70" w:rsidRPr="004B33C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32A" w:rsidRDefault="00E2632A" w:rsidP="004B33CA">
      <w:r>
        <w:separator/>
      </w:r>
    </w:p>
  </w:endnote>
  <w:endnote w:type="continuationSeparator" w:id="0">
    <w:p w:rsidR="00E2632A" w:rsidRDefault="00E2632A" w:rsidP="004B3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3CA" w:rsidRPr="004B33CA" w:rsidRDefault="004B33CA" w:rsidP="004B33CA">
    <w:pPr>
      <w:pStyle w:val="a9"/>
      <w:rPr>
        <w:rFonts w:ascii="Arial" w:hAnsi="Arial" w:cs="Arial"/>
        <w:b/>
        <w:color w:val="333399"/>
      </w:rPr>
    </w:pPr>
  </w:p>
  <w:p w:rsidR="004B33CA" w:rsidRPr="004B33CA" w:rsidRDefault="004B33CA" w:rsidP="004B33CA">
    <w:pPr>
      <w:pStyle w:val="a9"/>
      <w:rPr>
        <w:rFonts w:ascii="Arial" w:eastAsia="Arial Unicode MS" w:hAnsi="Arial" w:cs="Arial"/>
        <w:bCs/>
      </w:rPr>
    </w:pPr>
    <w:r w:rsidRPr="004B33CA">
      <w:rPr>
        <w:rFonts w:ascii="Arial" w:eastAsia="Arial Unicode MS" w:hAnsi="Arial" w:cs="Arial"/>
        <w:bCs/>
      </w:rPr>
      <w:t>Address: 4th Floor, Bldg D, Zhiyuan Hanyuanling Industrial Park, Shiyan, Baoan District, Shenzhen</w:t>
    </w:r>
  </w:p>
  <w:p w:rsidR="004B33CA" w:rsidRPr="004B33CA" w:rsidRDefault="004B33CA" w:rsidP="004B33CA">
    <w:pPr>
      <w:pStyle w:val="a9"/>
      <w:rPr>
        <w:rFonts w:ascii="Arial" w:hAnsi="Arial"/>
      </w:rPr>
    </w:pPr>
    <w:r w:rsidRPr="004B33CA">
      <w:rPr>
        <w:rFonts w:ascii="Arial" w:eastAsia="Arial Unicode MS" w:hAnsi="Arial" w:cs="Arial"/>
        <w:bCs/>
      </w:rPr>
      <w:t>Web: www.gracy</w:t>
    </w:r>
    <w:r w:rsidRPr="004B33CA">
      <w:rPr>
        <w:rFonts w:ascii="Arial" w:eastAsia="Arial Unicode MS" w:hAnsi="Arial" w:cs="Arial" w:hint="eastAsia"/>
        <w:bCs/>
      </w:rPr>
      <w:t>-</w:t>
    </w:r>
    <w:r w:rsidRPr="004B33CA">
      <w:rPr>
        <w:rFonts w:ascii="Arial" w:eastAsia="Arial Unicode MS" w:hAnsi="Arial" w:cs="Arial"/>
        <w:bCs/>
      </w:rPr>
      <w:t>fiber.com</w:t>
    </w:r>
    <w:r w:rsidRPr="004B33CA">
      <w:rPr>
        <w:rFonts w:ascii="Arial" w:hAnsi="Arial" w:cs="Arial"/>
        <w:bCs/>
      </w:rPr>
      <w:t xml:space="preserve">  </w:t>
    </w:r>
    <w:r w:rsidRPr="004B33CA">
      <w:rPr>
        <w:rFonts w:ascii="Arial" w:hAnsi="Arial" w:cs="Arial" w:hint="eastAsia"/>
        <w:bCs/>
      </w:rPr>
      <w:t xml:space="preserve">  </w:t>
    </w:r>
    <w:r w:rsidRPr="004B33CA">
      <w:rPr>
        <w:rFonts w:ascii="Arial" w:eastAsia="Arial Unicode MS" w:hAnsi="Arial" w:cs="Arial"/>
        <w:bCs/>
      </w:rPr>
      <w:t>Tel: 0755-27204792</w:t>
    </w:r>
    <w:r w:rsidRPr="004B33CA">
      <w:rPr>
        <w:rFonts w:ascii="Arial" w:eastAsia="Arial Unicode MS" w:hAnsi="Arial" w:cs="Arial" w:hint="eastAsia"/>
        <w:bCs/>
      </w:rPr>
      <w:t xml:space="preserve"> </w:t>
    </w:r>
    <w:r w:rsidRPr="004B33CA">
      <w:rPr>
        <w:rFonts w:ascii="Arial" w:hAnsi="Arial"/>
      </w:rPr>
      <w:t xml:space="preserve">                                                                         </w:t>
    </w:r>
  </w:p>
  <w:p w:rsidR="004B33CA" w:rsidRPr="004B33CA" w:rsidRDefault="004B33C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32A" w:rsidRDefault="00E2632A" w:rsidP="004B33CA">
      <w:r>
        <w:separator/>
      </w:r>
    </w:p>
  </w:footnote>
  <w:footnote w:type="continuationSeparator" w:id="0">
    <w:p w:rsidR="00E2632A" w:rsidRDefault="00E2632A" w:rsidP="004B3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3CA" w:rsidRDefault="004B33CA" w:rsidP="004B33CA">
    <w:pPr>
      <w:pStyle w:val="a9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7B45FC7F" wp14:editId="46F49E28">
          <wp:simplePos x="0" y="0"/>
          <wp:positionH relativeFrom="column">
            <wp:posOffset>16510</wp:posOffset>
          </wp:positionH>
          <wp:positionV relativeFrom="paragraph">
            <wp:posOffset>75565</wp:posOffset>
          </wp:positionV>
          <wp:extent cx="6327140" cy="613410"/>
          <wp:effectExtent l="0" t="0" r="10160" b="8890"/>
          <wp:wrapTight wrapText="bothSides">
            <wp:wrapPolygon edited="0">
              <wp:start x="0" y="0"/>
              <wp:lineTo x="0" y="21019"/>
              <wp:lineTo x="21548" y="21019"/>
              <wp:lineTo x="21548" y="0"/>
              <wp:lineTo x="0" y="0"/>
            </wp:wrapPolygon>
          </wp:wrapTight>
          <wp:docPr id="3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140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B33CA" w:rsidRDefault="004B33CA" w:rsidP="004B33CA">
    <w:pPr>
      <w:pStyle w:val="a9"/>
      <w:rPr>
        <w:b/>
        <w:color w:val="000000"/>
        <w:sz w:val="28"/>
        <w:szCs w:val="28"/>
      </w:rPr>
    </w:pPr>
  </w:p>
  <w:p w:rsidR="004B33CA" w:rsidRDefault="004B33CA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20A"/>
    <w:rsid w:val="001A620A"/>
    <w:rsid w:val="004B33CA"/>
    <w:rsid w:val="00810C70"/>
    <w:rsid w:val="00CC4B0F"/>
    <w:rsid w:val="00E2632A"/>
    <w:rsid w:val="00FB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A671D"/>
  <w15:chartTrackingRefBased/>
  <w15:docId w15:val="{1A673025-99EC-4360-A13C-5A181963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33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33CA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4B33CA"/>
    <w:pPr>
      <w:widowControl w:val="0"/>
      <w:jc w:val="both"/>
    </w:pPr>
  </w:style>
  <w:style w:type="paragraph" w:styleId="a4">
    <w:name w:val="Subtitle"/>
    <w:basedOn w:val="a"/>
    <w:next w:val="a"/>
    <w:link w:val="a5"/>
    <w:uiPriority w:val="11"/>
    <w:qFormat/>
    <w:rsid w:val="004B33CA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uiPriority w:val="11"/>
    <w:rsid w:val="004B33CA"/>
    <w:rPr>
      <w:b/>
      <w:bCs/>
      <w:kern w:val="28"/>
      <w:sz w:val="32"/>
      <w:szCs w:val="32"/>
    </w:rPr>
  </w:style>
  <w:style w:type="character" w:styleId="a6">
    <w:name w:val="Strong"/>
    <w:basedOn w:val="a0"/>
    <w:uiPriority w:val="22"/>
    <w:qFormat/>
    <w:rsid w:val="004B33CA"/>
    <w:rPr>
      <w:b/>
      <w:bCs/>
    </w:rPr>
  </w:style>
  <w:style w:type="paragraph" w:styleId="a7">
    <w:name w:val="header"/>
    <w:basedOn w:val="a"/>
    <w:link w:val="a8"/>
    <w:uiPriority w:val="99"/>
    <w:unhideWhenUsed/>
    <w:rsid w:val="004B3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B33C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B3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4B3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0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2026-05-14T03:11:00Z</dcterms:created>
  <dcterms:modified xsi:type="dcterms:W3CDTF">2026-05-14T03:22:00Z</dcterms:modified>
</cp:coreProperties>
</file>